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78" w:rsidRDefault="00D94A3F">
      <w:pPr>
        <w:tabs>
          <w:tab w:val="left" w:pos="9265"/>
        </w:tabs>
        <w:ind w:leftChars="2700" w:left="5670" w:firstLineChars="800" w:firstLine="1680"/>
        <w:rPr>
          <w:rFonts w:ascii="Calibri" w:eastAsia="黑体" w:hAnsi="Calibri" w:cs="Calibri"/>
          <w:color w:val="FFFFFF"/>
          <w:sz w:val="34"/>
          <w:szCs w:val="34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402.55pt;margin-top:6pt;width:74.25pt;height:102.95pt;z-index:251665408;mso-wrap-distance-left:9pt;mso-wrap-distance-top:0;mso-wrap-distance-right:9pt;mso-wrap-distance-bottom:0;mso-width-relative:page;mso-height-relative:page">
            <v:imagedata r:id="rId9" o:title="120kw双枪" croptop="2541f" cropbottom="2934f" cropleft="3718f" cropright="3718f"/>
            <w10:wrap type="square"/>
          </v:shape>
        </w:pict>
      </w:r>
      <w:r>
        <w:rPr>
          <w:rFonts w:ascii="Calibri" w:eastAsia="黑体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4.1pt;margin-top:-6.25pt;width:268.4pt;height:31.75pt;z-index:251659264;mso-width-relative:page;mso-height-relative:page" filled="f" stroked="f">
            <v:textbox>
              <w:txbxContent>
                <w:p w:rsidR="000B4378" w:rsidRDefault="00D94A3F">
                  <w:pPr>
                    <w:ind w:firstLineChars="100" w:firstLine="281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8"/>
                      <w:szCs w:val="28"/>
                    </w:rPr>
                    <w:t>电动汽车双枪直流</w:t>
                  </w: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240KW</w:t>
                  </w:r>
                  <w:r>
                    <w:rPr>
                      <w:rFonts w:hint="eastAsia"/>
                      <w:b/>
                      <w:bCs/>
                      <w:color w:val="FFFFFF"/>
                      <w:sz w:val="28"/>
                      <w:szCs w:val="28"/>
                    </w:rPr>
                    <w:t>充电桩</w:t>
                  </w:r>
                  <w:r>
                    <w:rPr>
                      <w:rFonts w:hint="eastAsia"/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  <w:p w:rsidR="000B4378" w:rsidRDefault="000B4378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>
        <w:rPr>
          <w:rFonts w:ascii="Calibri" w:eastAsia="黑体" w:hAnsi="Calibri" w:cs="Calibri"/>
          <w:noProof/>
          <w:color w:val="FFFFFF"/>
          <w:sz w:val="34"/>
          <w:szCs w:val="3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3232150" cy="36195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78" w:rsidRDefault="00D94A3F">
      <w:pPr>
        <w:ind w:firstLineChars="300" w:firstLine="54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电动汽车快速直流充电机，是一款能满足国标充电接口和提供安全可靠的充电业务的产品，直流充电机同时具有良好的人机界面，操作简单方便，采用智能化运行管理、多重保护、极大提高了系统的稳定性和可靠性。</w:t>
      </w:r>
    </w:p>
    <w:p w:rsidR="000B4378" w:rsidRDefault="00D94A3F">
      <w:pPr>
        <w:ind w:firstLineChars="300" w:firstLine="54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pict>
          <v:shape id="_x0000_s1057" type="#_x0000_t202" style="position:absolute;left:0;text-align:left;margin-left:373.8pt;margin-top:38.65pt;width:133.4pt;height:22.8pt;z-index:251663360;mso-width-relative:page;mso-height-relative:page" stroked="f">
            <v:textbox style="mso-fit-shape-to-text:t">
              <w:txbxContent>
                <w:p w:rsidR="000B4378" w:rsidRDefault="00D94A3F">
                  <w:pPr>
                    <w:rPr>
                      <w:rFonts w:ascii="微软雅黑" w:eastAsia="微软雅黑" w:hAnsi="微软雅黑"/>
                      <w:sz w:val="15"/>
                      <w:szCs w:val="15"/>
                    </w:rPr>
                  </w:pPr>
                  <w:r>
                    <w:rPr>
                      <w:rFonts w:ascii="微软雅黑" w:eastAsia="微软雅黑" w:hAnsi="微软雅黑" w:hint="eastAsia"/>
                      <w:color w:val="FF0000"/>
                      <w:sz w:val="15"/>
                      <w:szCs w:val="15"/>
                    </w:rPr>
                    <w:t>注：</w:t>
                  </w:r>
                  <w:r>
                    <w:rPr>
                      <w:rFonts w:ascii="微软雅黑" w:eastAsia="微软雅黑" w:hAnsi="微软雅黑" w:hint="eastAsia"/>
                      <w:sz w:val="15"/>
                      <w:szCs w:val="15"/>
                    </w:rPr>
                    <w:t>产品以实物为准，图片仅供参考</w:t>
                  </w:r>
                </w:p>
              </w:txbxContent>
            </v:textbox>
          </v:shape>
        </w:pict>
      </w:r>
      <w:r>
        <w:rPr>
          <w:rFonts w:ascii="Calibri" w:eastAsia="微软雅黑" w:hAnsi="Calibri" w:cs="Calibri"/>
          <w:sz w:val="18"/>
          <w:szCs w:val="18"/>
        </w:rPr>
        <w:t>电动汽车快速直流充电</w:t>
      </w:r>
      <w:proofErr w:type="gramStart"/>
      <w:r>
        <w:rPr>
          <w:rFonts w:ascii="Calibri" w:eastAsia="微软雅黑" w:hAnsi="Calibri" w:cs="Calibri"/>
          <w:sz w:val="18"/>
          <w:szCs w:val="18"/>
        </w:rPr>
        <w:t>桩</w:t>
      </w:r>
      <w:r>
        <w:rPr>
          <w:rFonts w:ascii="Calibri" w:eastAsia="微软雅黑" w:hAnsi="Calibri" w:cs="Calibri"/>
          <w:sz w:val="18"/>
          <w:szCs w:val="18"/>
        </w:rPr>
        <w:t>主要</w:t>
      </w:r>
      <w:proofErr w:type="gramEnd"/>
      <w:r>
        <w:rPr>
          <w:rFonts w:ascii="Calibri" w:eastAsia="微软雅黑" w:hAnsi="Calibri" w:cs="Calibri"/>
          <w:sz w:val="18"/>
          <w:szCs w:val="18"/>
        </w:rPr>
        <w:t>适合安装于高速公路沿线、</w:t>
      </w:r>
      <w:proofErr w:type="gramStart"/>
      <w:r>
        <w:rPr>
          <w:rFonts w:ascii="Calibri" w:eastAsia="微软雅黑" w:hAnsi="Calibri" w:cs="Calibri"/>
          <w:sz w:val="18"/>
          <w:szCs w:val="18"/>
        </w:rPr>
        <w:t>电动汽车充换电站</w:t>
      </w:r>
      <w:proofErr w:type="gramEnd"/>
      <w:r>
        <w:rPr>
          <w:rFonts w:ascii="Calibri" w:eastAsia="微软雅黑" w:hAnsi="Calibri" w:cs="Calibri"/>
          <w:sz w:val="18"/>
          <w:szCs w:val="18"/>
        </w:rPr>
        <w:t>、公共停车场、住宅小区停车场、旅游沿线停车场，商业广场及酒店停车场等多种场所，为符合要求的电动汽车提供日常的快速充电储能服务。</w:t>
      </w:r>
    </w:p>
    <w:p w:rsidR="000B4378" w:rsidRDefault="000B4378">
      <w:pPr>
        <w:ind w:firstLineChars="300" w:firstLine="540"/>
        <w:rPr>
          <w:rFonts w:ascii="Calibri" w:eastAsia="微软雅黑" w:hAnsi="Calibri" w:cs="Calibri"/>
          <w:sz w:val="18"/>
          <w:szCs w:val="18"/>
        </w:rPr>
      </w:pPr>
    </w:p>
    <w:p w:rsidR="000B4378" w:rsidRDefault="00D94A3F">
      <w:pPr>
        <w:spacing w:line="400" w:lineRule="exact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pict>
          <v:shape id="_x0000_s1027" type="#_x0000_t202" style="position:absolute;left:0;text-align:left;margin-left:-.25pt;margin-top:-.25pt;width:67.55pt;height:23.4pt;z-index:251657216;mso-width-relative:page;mso-height-relative:page" filled="f" stroked="f">
            <v:textbox>
              <w:txbxContent>
                <w:p w:rsidR="000B4378" w:rsidRDefault="00D94A3F">
                  <w:pPr>
                    <w:jc w:val="center"/>
                    <w:rPr>
                      <w:rFonts w:ascii="黑体" w:eastAsia="黑体"/>
                      <w:color w:val="00000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sz w:val="24"/>
                    </w:rPr>
                    <w:t>型号描述</w:t>
                  </w:r>
                </w:p>
                <w:p w:rsidR="000B4378" w:rsidRDefault="000B437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Calibri" w:eastAsia="微软雅黑" w:hAnsi="Calibri" w:cs="Calibri"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6350</wp:posOffset>
            </wp:positionV>
            <wp:extent cx="6000115" cy="22542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  <w:gridCol w:w="142"/>
      </w:tblGrid>
      <w:tr w:rsidR="000B4378">
        <w:trPr>
          <w:gridAfter w:val="1"/>
          <w:wAfter w:w="142" w:type="dxa"/>
        </w:trPr>
        <w:tc>
          <w:tcPr>
            <w:tcW w:w="3119" w:type="dxa"/>
            <w:shd w:val="clear" w:color="auto" w:fill="808080"/>
            <w:vAlign w:val="center"/>
          </w:tcPr>
          <w:p w:rsidR="000B4378" w:rsidRDefault="00D94A3F">
            <w:pPr>
              <w:autoSpaceDN w:val="0"/>
              <w:jc w:val="left"/>
              <w:textAlignment w:val="center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6237" w:type="dxa"/>
            <w:shd w:val="clear" w:color="auto" w:fill="808080"/>
            <w:vAlign w:val="center"/>
          </w:tcPr>
          <w:p w:rsidR="000B4378" w:rsidRDefault="00D94A3F">
            <w:pPr>
              <w:autoSpaceDN w:val="0"/>
              <w:jc w:val="left"/>
              <w:textAlignment w:val="center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功能描述</w:t>
            </w:r>
          </w:p>
        </w:tc>
      </w:tr>
      <w:tr w:rsidR="000B4378">
        <w:trPr>
          <w:trHeight w:val="259"/>
        </w:trPr>
        <w:tc>
          <w:tcPr>
            <w:tcW w:w="3119" w:type="dxa"/>
            <w:vAlign w:val="center"/>
          </w:tcPr>
          <w:p w:rsidR="000B4378" w:rsidRDefault="00D94A3F">
            <w:pPr>
              <w:autoSpaceDN w:val="0"/>
              <w:jc w:val="left"/>
              <w:textAlignment w:val="center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sz w:val="18"/>
                <w:szCs w:val="18"/>
              </w:rPr>
              <w:t>DS-TMP201-D2(DC</w:t>
            </w:r>
            <w:r>
              <w:rPr>
                <w:rFonts w:ascii="Calibri" w:eastAsia="微软雅黑" w:hAnsi="Calibri" w:cs="Calibri" w:hint="eastAsia"/>
                <w:sz w:val="18"/>
                <w:szCs w:val="18"/>
              </w:rPr>
              <w:t>1000</w:t>
            </w:r>
            <w:r>
              <w:rPr>
                <w:rFonts w:ascii="Calibri" w:eastAsia="微软雅黑" w:hAnsi="Calibri" w:cs="Calibri"/>
                <w:sz w:val="18"/>
                <w:szCs w:val="18"/>
              </w:rPr>
              <w:t>V/240KW)</w:t>
            </w:r>
          </w:p>
        </w:tc>
        <w:tc>
          <w:tcPr>
            <w:tcW w:w="6379" w:type="dxa"/>
            <w:gridSpan w:val="2"/>
            <w:vAlign w:val="center"/>
          </w:tcPr>
          <w:p w:rsidR="000B4378" w:rsidRDefault="00D94A3F">
            <w:pPr>
              <w:autoSpaceDN w:val="0"/>
              <w:jc w:val="left"/>
              <w:textAlignment w:val="center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电动汽车充电桩，</w:t>
            </w: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寸彩色触摸屏、支持刷卡、扫码，</w:t>
            </w:r>
            <w:r>
              <w:rPr>
                <w:rFonts w:ascii="Calibri" w:eastAsia="微软雅黑" w:hAnsi="Calibri" w:cs="Calibri"/>
                <w:color w:val="FF0000"/>
                <w:sz w:val="18"/>
                <w:szCs w:val="18"/>
              </w:rPr>
              <w:t>双枪</w:t>
            </w: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，额定功率</w:t>
            </w:r>
            <w:r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 xml:space="preserve">240KW </w:t>
            </w:r>
          </w:p>
        </w:tc>
      </w:tr>
    </w:tbl>
    <w:p w:rsidR="000B4378" w:rsidRDefault="00D94A3F">
      <w:pPr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pict>
          <v:shape id="_x0000_s1033" type="#_x0000_t202" style="position:absolute;left:0;text-align:left;margin-left:2.15pt;margin-top:7.95pt;width:69.75pt;height:23.4pt;z-index:251658240;mso-position-horizontal-relative:text;mso-position-vertical-relative:text;mso-width-relative:page;mso-height-relative:page" filled="f" stroked="f">
            <v:textbox>
              <w:txbxContent>
                <w:p w:rsidR="000B4378" w:rsidRDefault="00D94A3F">
                  <w:pPr>
                    <w:jc w:val="center"/>
                    <w:rPr>
                      <w:rFonts w:ascii="黑体" w:eastAsia="黑体"/>
                      <w:color w:val="00000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sz w:val="24"/>
                    </w:rPr>
                    <w:t>主要特性</w:t>
                  </w:r>
                </w:p>
                <w:p w:rsidR="000B4378" w:rsidRDefault="000B437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Calibri" w:eastAsia="黑体" w:hAnsi="Calibri" w:cs="Calibri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132715</wp:posOffset>
            </wp:positionV>
            <wp:extent cx="5991225" cy="2755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78" w:rsidRDefault="000B4378">
      <w:pPr>
        <w:rPr>
          <w:rFonts w:ascii="Calibri" w:eastAsia="黑体" w:hAnsi="Calibri" w:cs="Calibri"/>
        </w:rPr>
      </w:pPr>
    </w:p>
    <w:p w:rsidR="000B4378" w:rsidRDefault="00D94A3F">
      <w:pPr>
        <w:ind w:firstLineChars="200" w:firstLine="36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充电</w:t>
      </w:r>
      <w:r>
        <w:rPr>
          <w:rFonts w:ascii="Calibri" w:eastAsia="微软雅黑" w:hAnsi="Calibri" w:cs="Calibri"/>
          <w:sz w:val="18"/>
          <w:szCs w:val="18"/>
        </w:rPr>
        <w:t>设备采用模块化设计，具有便捷安装、便捷调试、</w:t>
      </w:r>
      <w:proofErr w:type="gramStart"/>
      <w:r>
        <w:rPr>
          <w:rFonts w:ascii="Calibri" w:eastAsia="微软雅黑" w:hAnsi="Calibri" w:cs="Calibri"/>
          <w:sz w:val="18"/>
          <w:szCs w:val="18"/>
        </w:rPr>
        <w:t>便捷维护</w:t>
      </w:r>
      <w:proofErr w:type="gramEnd"/>
      <w:r>
        <w:rPr>
          <w:rFonts w:ascii="Calibri" w:eastAsia="微软雅黑" w:hAnsi="Calibri" w:cs="Calibri"/>
          <w:sz w:val="18"/>
          <w:szCs w:val="18"/>
        </w:rPr>
        <w:t>等特点。主要由信号指示灯、人机界面、刷卡模块、计量模块（电能表）、计费控制单元、电源转换模块、充电控制器、充电连接器、急停按钮和</w:t>
      </w:r>
      <w:proofErr w:type="gramStart"/>
      <w:r>
        <w:rPr>
          <w:rFonts w:ascii="Calibri" w:eastAsia="微软雅黑" w:hAnsi="Calibri" w:cs="Calibri"/>
          <w:sz w:val="18"/>
          <w:szCs w:val="18"/>
        </w:rPr>
        <w:t>各保护</w:t>
      </w:r>
      <w:proofErr w:type="gramEnd"/>
      <w:r>
        <w:rPr>
          <w:rFonts w:ascii="Calibri" w:eastAsia="微软雅黑" w:hAnsi="Calibri" w:cs="Calibri"/>
          <w:sz w:val="18"/>
          <w:szCs w:val="18"/>
        </w:rPr>
        <w:t>模块等组成。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信号指示灯：显示充电</w:t>
      </w:r>
      <w:proofErr w:type="gramStart"/>
      <w:r>
        <w:rPr>
          <w:rFonts w:ascii="Calibri" w:eastAsia="微软雅黑" w:hAnsi="Calibri" w:cs="Calibri"/>
          <w:sz w:val="18"/>
          <w:szCs w:val="18"/>
        </w:rPr>
        <w:t>机当前</w:t>
      </w:r>
      <w:proofErr w:type="gramEnd"/>
      <w:r>
        <w:rPr>
          <w:rFonts w:ascii="Calibri" w:eastAsia="微软雅黑" w:hAnsi="Calibri" w:cs="Calibri"/>
          <w:sz w:val="18"/>
          <w:szCs w:val="18"/>
        </w:rPr>
        <w:t>的运行状态；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人机界面：可直接触摸屏幕进行相关操作，充电过程中可实时显示各充电接口和电池的详细信息；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刷卡模块：识别和验证用户信息，并开始或停止充电；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计量模块：记录输送给车辆的电量；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计费控制单元：后台交互，充电信息、故障信息的存储及上报，充电费用的统计及上报；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电源转换模块：将交流</w:t>
      </w:r>
      <w:r>
        <w:rPr>
          <w:rFonts w:ascii="Calibri" w:eastAsia="微软雅黑" w:hAnsi="Calibri" w:cs="Calibri"/>
          <w:sz w:val="18"/>
          <w:szCs w:val="18"/>
        </w:rPr>
        <w:t>电能转换为直流电能，为电动汽车提供直流电源；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充电控制器：根据车辆</w:t>
      </w:r>
      <w:r>
        <w:rPr>
          <w:rFonts w:ascii="Calibri" w:eastAsia="微软雅黑" w:hAnsi="Calibri" w:cs="Calibri"/>
          <w:sz w:val="18"/>
          <w:szCs w:val="18"/>
        </w:rPr>
        <w:t xml:space="preserve">BMS </w:t>
      </w:r>
      <w:r>
        <w:rPr>
          <w:rFonts w:ascii="Calibri" w:eastAsia="微软雅黑" w:hAnsi="Calibri" w:cs="Calibri"/>
          <w:sz w:val="18"/>
          <w:szCs w:val="18"/>
        </w:rPr>
        <w:t>需求，智能调度功率输出，系统充电的信息采集、处理和控制；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充电连接器：符合国标</w:t>
      </w:r>
      <w:r>
        <w:rPr>
          <w:rFonts w:ascii="Calibri" w:eastAsia="微软雅黑" w:hAnsi="Calibri" w:cs="Calibri"/>
          <w:sz w:val="18"/>
          <w:szCs w:val="18"/>
        </w:rPr>
        <w:t xml:space="preserve">GB/T 20234.3 </w:t>
      </w:r>
      <w:r>
        <w:rPr>
          <w:rFonts w:ascii="Calibri" w:eastAsia="微软雅黑" w:hAnsi="Calibri" w:cs="Calibri"/>
          <w:sz w:val="18"/>
          <w:szCs w:val="18"/>
        </w:rPr>
        <w:t>的标准充电接口；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急停按钮：紧急切断输入输出电源，停止充电；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保护模块：具备过（欠）压、过载、短路、过温、防反、浪涌、接地、急停、绝缘等多重保护功能；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工作位置安装：垂直安装，最大斜度不应大于</w:t>
      </w:r>
      <w:r>
        <w:rPr>
          <w:rFonts w:ascii="Calibri" w:eastAsia="微软雅黑" w:hAnsi="Calibri" w:cs="Calibri"/>
          <w:sz w:val="18"/>
          <w:szCs w:val="18"/>
        </w:rPr>
        <w:t>5°</w:t>
      </w:r>
      <w:r>
        <w:rPr>
          <w:rFonts w:ascii="Calibri" w:eastAsia="微软雅黑" w:hAnsi="Calibri" w:cs="Calibri"/>
          <w:sz w:val="18"/>
          <w:szCs w:val="18"/>
        </w:rPr>
        <w:t>；</w:t>
      </w:r>
    </w:p>
    <w:p w:rsidR="000B4378" w:rsidRDefault="00D94A3F">
      <w:pPr>
        <w:pStyle w:val="aa"/>
        <w:numPr>
          <w:ilvl w:val="0"/>
          <w:numId w:val="1"/>
        </w:numPr>
        <w:ind w:firstLineChars="0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t>运行地点环境：无导电尘埃、无腐蚀性气体、无爆炸性气体、无强烈震动；</w:t>
      </w:r>
    </w:p>
    <w:p w:rsidR="000B4378" w:rsidRDefault="00D94A3F">
      <w:pPr>
        <w:widowControl/>
        <w:adjustRightInd w:val="0"/>
        <w:spacing w:line="260" w:lineRule="exact"/>
        <w:jc w:val="left"/>
        <w:rPr>
          <w:rFonts w:ascii="Calibri" w:eastAsia="微软雅黑" w:hAnsi="Calibri" w:cs="Calibri"/>
          <w:sz w:val="18"/>
          <w:szCs w:val="18"/>
        </w:rPr>
      </w:pPr>
      <w:r>
        <w:rPr>
          <w:rFonts w:ascii="Calibri" w:eastAsia="微软雅黑" w:hAnsi="Calibri" w:cs="Calibri"/>
          <w:sz w:val="18"/>
          <w:szCs w:val="18"/>
        </w:rPr>
        <w:pict>
          <v:shape id="_x0000_s1050" type="#_x0000_t202" style="position:absolute;margin-left:8.65pt;margin-top:1.25pt;width:69.75pt;height:23.4pt;z-index:251660288;mso-width-relative:page;mso-height-relative:page" filled="f" stroked="f">
            <v:textbox>
              <w:txbxContent>
                <w:p w:rsidR="000B4378" w:rsidRDefault="00D94A3F">
                  <w:pPr>
                    <w:jc w:val="center"/>
                    <w:rPr>
                      <w:rFonts w:ascii="黑体" w:eastAsia="黑体"/>
                      <w:color w:val="00000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sz w:val="24"/>
                    </w:rPr>
                    <w:t>系统</w:t>
                  </w:r>
                  <w:r>
                    <w:rPr>
                      <w:rFonts w:eastAsia="黑体"/>
                      <w:color w:val="000000"/>
                      <w:sz w:val="24"/>
                    </w:rPr>
                    <w:t>应用</w:t>
                  </w:r>
                </w:p>
                <w:p w:rsidR="000B4378" w:rsidRDefault="000B437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Calibri" w:eastAsia="黑体" w:hAnsi="Calibri" w:cs="Calibri"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91225" cy="27559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78" w:rsidRDefault="000B4378">
      <w:pPr>
        <w:rPr>
          <w:rFonts w:ascii="Calibri" w:hAnsi="Calibri" w:cs="Calibri"/>
          <w:b/>
          <w:bCs/>
          <w:color w:val="000000"/>
          <w:kern w:val="0"/>
          <w:sz w:val="15"/>
          <w:szCs w:val="15"/>
        </w:rPr>
      </w:pPr>
    </w:p>
    <w:p w:rsidR="000B4378" w:rsidRDefault="00D94A3F">
      <w:pPr>
        <w:jc w:val="center"/>
        <w:rPr>
          <w:rFonts w:ascii="Calibri" w:hAnsi="Calibri" w:cs="Calibri"/>
          <w:b/>
          <w:bCs/>
          <w:color w:val="000000"/>
          <w:kern w:val="0"/>
          <w:sz w:val="15"/>
          <w:szCs w:val="15"/>
        </w:rPr>
      </w:pPr>
      <w:r>
        <w:rPr>
          <w:rFonts w:ascii="Calibri" w:hAnsi="Calibri" w:cs="Calibri"/>
          <w:b/>
          <w:bCs/>
          <w:noProof/>
          <w:color w:val="000000"/>
          <w:kern w:val="0"/>
          <w:sz w:val="15"/>
          <w:szCs w:val="15"/>
        </w:rPr>
        <w:drawing>
          <wp:inline distT="0" distB="0" distL="0" distR="0">
            <wp:extent cx="3409950" cy="2075815"/>
            <wp:effectExtent l="0" t="0" r="0" b="0"/>
            <wp:docPr id="25" name="图片 25" descr="C:\Users\CHENZH~1\AppData\Local\Temp\16037171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CHENZH~1\AppData\Local\Temp\1603717117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78" w:rsidRDefault="00D94A3F">
      <w:pPr>
        <w:jc w:val="center"/>
        <w:rPr>
          <w:rFonts w:ascii="Calibri" w:hAnsi="Calibri" w:cs="Calibri"/>
          <w:b/>
          <w:bCs/>
          <w:color w:val="000000"/>
          <w:kern w:val="0"/>
          <w:szCs w:val="21"/>
        </w:rPr>
      </w:pPr>
      <w:r>
        <w:rPr>
          <w:rFonts w:ascii="Calibri" w:hAnsi="Calibri" w:cs="Calibri"/>
          <w:b/>
          <w:bCs/>
          <w:color w:val="000000"/>
          <w:kern w:val="0"/>
          <w:szCs w:val="21"/>
        </w:rPr>
        <w:t>系统应用框</w:t>
      </w:r>
    </w:p>
    <w:p w:rsidR="000B4378" w:rsidRDefault="000B4378">
      <w:pPr>
        <w:jc w:val="center"/>
        <w:rPr>
          <w:rFonts w:ascii="Calibri" w:hAnsi="Calibri" w:cs="Calibri"/>
          <w:b/>
          <w:bCs/>
          <w:color w:val="000000"/>
          <w:kern w:val="0"/>
          <w:szCs w:val="21"/>
        </w:rPr>
      </w:pPr>
    </w:p>
    <w:p w:rsidR="000B4378" w:rsidRDefault="000B4378">
      <w:pPr>
        <w:jc w:val="center"/>
        <w:rPr>
          <w:rFonts w:ascii="Calibri" w:hAnsi="Calibri" w:cs="Calibri"/>
          <w:b/>
          <w:bCs/>
          <w:color w:val="000000"/>
          <w:kern w:val="0"/>
          <w:szCs w:val="21"/>
        </w:rPr>
      </w:pPr>
    </w:p>
    <w:p w:rsidR="000B4378" w:rsidRDefault="000B4378">
      <w:pPr>
        <w:rPr>
          <w:rFonts w:ascii="Calibri" w:hAnsi="Calibri" w:cs="Calibri"/>
          <w:b/>
          <w:bCs/>
          <w:color w:val="000000"/>
          <w:kern w:val="0"/>
          <w:szCs w:val="21"/>
        </w:rPr>
      </w:pPr>
    </w:p>
    <w:p w:rsidR="000B4378" w:rsidRDefault="000B4378">
      <w:pPr>
        <w:rPr>
          <w:rFonts w:ascii="Calibri" w:hAnsi="Calibri" w:cs="Calibri"/>
          <w:b/>
          <w:bCs/>
          <w:color w:val="000000"/>
          <w:kern w:val="0"/>
          <w:sz w:val="15"/>
          <w:szCs w:val="15"/>
        </w:rPr>
      </w:pPr>
    </w:p>
    <w:p w:rsidR="000B4378" w:rsidRDefault="00D94A3F">
      <w:pPr>
        <w:rPr>
          <w:rFonts w:ascii="Calibri" w:hAnsi="Calibri" w:cs="Calibri"/>
          <w:b/>
          <w:bCs/>
          <w:color w:val="000000"/>
          <w:kern w:val="0"/>
          <w:sz w:val="15"/>
          <w:szCs w:val="15"/>
        </w:rPr>
      </w:pPr>
      <w:r>
        <w:rPr>
          <w:rFonts w:ascii="Calibri" w:hAnsi="Calibri" w:cs="Calibri"/>
          <w:b/>
          <w:bCs/>
          <w:noProof/>
          <w:color w:val="000000"/>
          <w:kern w:val="0"/>
          <w:sz w:val="15"/>
          <w:szCs w:val="15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55880</wp:posOffset>
            </wp:positionV>
            <wp:extent cx="5929630" cy="31369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308" cy="32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kern w:val="0"/>
          <w:sz w:val="15"/>
          <w:szCs w:val="15"/>
        </w:rPr>
        <w:pict>
          <v:shape id="_x0000_s1053" type="#_x0000_t202" style="position:absolute;left:0;text-align:left;margin-left:6.9pt;margin-top:6.8pt;width:69.75pt;height:23.4pt;z-index:251662336;mso-position-horizontal-relative:text;mso-position-vertical-relative:text;mso-width-relative:page;mso-height-relative:page" filled="f" stroked="f">
            <v:textbox>
              <w:txbxContent>
                <w:p w:rsidR="000B4378" w:rsidRDefault="00D94A3F">
                  <w:pPr>
                    <w:rPr>
                      <w:color w:val="FF0000"/>
                    </w:rPr>
                  </w:pPr>
                  <w:r>
                    <w:rPr>
                      <w:rFonts w:eastAsia="黑体" w:hint="eastAsia"/>
                      <w:color w:val="000000"/>
                      <w:sz w:val="24"/>
                    </w:rPr>
                    <w:t>技术参数</w:t>
                  </w:r>
                </w:p>
              </w:txbxContent>
            </v:textbox>
          </v:shape>
        </w:pict>
      </w:r>
    </w:p>
    <w:p w:rsidR="000B4378" w:rsidRDefault="000B4378">
      <w:pPr>
        <w:rPr>
          <w:rFonts w:ascii="Calibri" w:hAnsi="Calibri" w:cs="Calibri"/>
          <w:b/>
          <w:bCs/>
          <w:color w:val="000000"/>
          <w:kern w:val="0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59"/>
        <w:gridCol w:w="1260"/>
        <w:gridCol w:w="6379"/>
      </w:tblGrid>
      <w:tr w:rsidR="000B4378">
        <w:trPr>
          <w:trHeight w:val="352"/>
        </w:trPr>
        <w:tc>
          <w:tcPr>
            <w:tcW w:w="3085" w:type="dxa"/>
            <w:gridSpan w:val="3"/>
            <w:vAlign w:val="center"/>
          </w:tcPr>
          <w:p w:rsidR="000B4378" w:rsidRDefault="00D94A3F">
            <w:pPr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参数内容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技术指标</w:t>
            </w:r>
          </w:p>
        </w:tc>
      </w:tr>
      <w:tr w:rsidR="000B4378">
        <w:trPr>
          <w:trHeight w:val="418"/>
        </w:trPr>
        <w:tc>
          <w:tcPr>
            <w:tcW w:w="566" w:type="dxa"/>
            <w:vMerge w:val="restart"/>
            <w:vAlign w:val="center"/>
          </w:tcPr>
          <w:p w:rsidR="000B4378" w:rsidRDefault="00D94A3F">
            <w:pPr>
              <w:tabs>
                <w:tab w:val="center" w:pos="175"/>
              </w:tabs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输入特性</w:t>
            </w:r>
            <w:r>
              <w:rPr>
                <w:rFonts w:ascii="Calibri" w:eastAsia="黑体" w:hAnsi="Calibri" w:cs="Calibri"/>
              </w:rPr>
              <w:t xml:space="preserve">  </w:t>
            </w: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输入电压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380Vac±15</w:t>
            </w:r>
            <w:r>
              <w:rPr>
                <w:rFonts w:ascii="Calibri" w:eastAsia="黑体" w:hAnsi="Calibri" w:cs="Calibri"/>
              </w:rPr>
              <w:t>％</w:t>
            </w:r>
          </w:p>
        </w:tc>
      </w:tr>
      <w:tr w:rsidR="000B4378">
        <w:trPr>
          <w:trHeight w:val="423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额定输入电流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388A</w:t>
            </w:r>
          </w:p>
        </w:tc>
      </w:tr>
      <w:tr w:rsidR="000B4378">
        <w:trPr>
          <w:trHeight w:val="423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输入频率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 xml:space="preserve">50/60Hz </w:t>
            </w:r>
          </w:p>
        </w:tc>
      </w:tr>
      <w:tr w:rsidR="000B4378">
        <w:trPr>
          <w:trHeight w:val="369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功率因数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≥0.99 (</w:t>
            </w:r>
            <w:r>
              <w:rPr>
                <w:rFonts w:ascii="Calibri" w:eastAsia="黑体" w:hAnsi="Calibri" w:cs="Calibri"/>
              </w:rPr>
              <w:t>满载</w:t>
            </w:r>
            <w:r>
              <w:rPr>
                <w:rFonts w:ascii="Calibri" w:eastAsia="黑体" w:hAnsi="Calibri" w:cs="Calibri"/>
              </w:rPr>
              <w:t>)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建议输入电缆规格（</w:t>
            </w:r>
            <w:r>
              <w:rPr>
                <w:rFonts w:ascii="Calibri" w:eastAsia="黑体" w:hAnsi="Calibri" w:cs="Calibri"/>
              </w:rPr>
              <w:t>mm</w:t>
            </w:r>
            <w:r>
              <w:rPr>
                <w:rFonts w:ascii="Calibri" w:eastAsia="黑体" w:hAnsi="Calibri" w:cs="Calibri"/>
                <w:vertAlign w:val="superscript"/>
              </w:rPr>
              <w:t>2</w:t>
            </w:r>
            <w:r>
              <w:rPr>
                <w:rFonts w:ascii="Calibri" w:eastAsia="黑体" w:hAnsi="Calibri" w:cs="Calibri"/>
              </w:rPr>
              <w:t>）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3*185+2*95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输入电源连接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3P+N+PE(L1</w:t>
            </w:r>
            <w:r>
              <w:rPr>
                <w:rFonts w:ascii="Calibri" w:eastAsia="黑体" w:hAnsi="Calibri" w:cs="Calibri"/>
              </w:rPr>
              <w:t>、</w:t>
            </w:r>
            <w:r>
              <w:rPr>
                <w:rFonts w:ascii="Calibri" w:eastAsia="黑体" w:hAnsi="Calibri" w:cs="Calibri"/>
              </w:rPr>
              <w:t>L2</w:t>
            </w:r>
            <w:r>
              <w:rPr>
                <w:rFonts w:ascii="Calibri" w:eastAsia="黑体" w:hAnsi="Calibri" w:cs="Calibri"/>
              </w:rPr>
              <w:t>、</w:t>
            </w:r>
            <w:r>
              <w:rPr>
                <w:rFonts w:ascii="Calibri" w:eastAsia="黑体" w:hAnsi="Calibri" w:cs="Calibri"/>
              </w:rPr>
              <w:t>L3</w:t>
            </w:r>
            <w:r>
              <w:rPr>
                <w:rFonts w:ascii="Calibri" w:eastAsia="黑体" w:hAnsi="Calibri" w:cs="Calibri"/>
              </w:rPr>
              <w:t>、</w:t>
            </w:r>
            <w:r>
              <w:rPr>
                <w:rFonts w:ascii="Calibri" w:eastAsia="黑体" w:hAnsi="Calibri" w:cs="Calibri"/>
              </w:rPr>
              <w:t>N</w:t>
            </w:r>
            <w:r>
              <w:rPr>
                <w:rFonts w:ascii="Calibri" w:eastAsia="黑体" w:hAnsi="Calibri" w:cs="Calibri"/>
              </w:rPr>
              <w:t>、</w:t>
            </w:r>
            <w:r>
              <w:rPr>
                <w:rFonts w:ascii="Calibri" w:eastAsia="黑体" w:hAnsi="Calibri" w:cs="Calibri"/>
              </w:rPr>
              <w:t>PE)</w:t>
            </w:r>
          </w:p>
        </w:tc>
      </w:tr>
      <w:tr w:rsidR="000B4378">
        <w:trPr>
          <w:trHeight w:val="20"/>
        </w:trPr>
        <w:tc>
          <w:tcPr>
            <w:tcW w:w="566" w:type="dxa"/>
            <w:vMerge w:val="restart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输出特性</w:t>
            </w: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效率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≥95%</w:t>
            </w:r>
            <w:r>
              <w:rPr>
                <w:rFonts w:ascii="Calibri" w:eastAsia="黑体" w:hAnsi="Calibri" w:cs="Calibri"/>
              </w:rPr>
              <w:t>（满载）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输出电压范围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200</w:t>
            </w:r>
            <w:r>
              <w:rPr>
                <w:rFonts w:ascii="Calibri" w:eastAsia="黑体" w:hAnsi="Calibri" w:cs="Calibri"/>
                <w:szCs w:val="21"/>
              </w:rPr>
              <w:t>～</w:t>
            </w:r>
            <w:r>
              <w:rPr>
                <w:rFonts w:ascii="Calibri" w:eastAsia="黑体" w:hAnsi="Calibri" w:cs="Calibri"/>
                <w:szCs w:val="21"/>
              </w:rPr>
              <w:t>1000</w:t>
            </w:r>
            <w:r>
              <w:rPr>
                <w:rFonts w:ascii="Calibri" w:eastAsia="黑体" w:hAnsi="Calibri" w:cs="Calibri"/>
                <w:szCs w:val="21"/>
              </w:rPr>
              <w:t>Vdc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proofErr w:type="gramStart"/>
            <w:r>
              <w:rPr>
                <w:rFonts w:ascii="Calibri" w:eastAsia="黑体" w:hAnsi="Calibri" w:cs="Calibri"/>
                <w:szCs w:val="21"/>
              </w:rPr>
              <w:t>恒</w:t>
            </w:r>
            <w:proofErr w:type="gramEnd"/>
            <w:r>
              <w:rPr>
                <w:rFonts w:ascii="Calibri" w:eastAsia="黑体" w:hAnsi="Calibri" w:cs="Calibri"/>
                <w:szCs w:val="21"/>
              </w:rPr>
              <w:t>功率电压范围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300</w:t>
            </w:r>
            <w:r>
              <w:rPr>
                <w:rFonts w:ascii="Calibri" w:eastAsia="黑体" w:hAnsi="Calibri" w:cs="Calibri"/>
                <w:szCs w:val="21"/>
              </w:rPr>
              <w:t>～</w:t>
            </w:r>
            <w:r>
              <w:rPr>
                <w:rFonts w:ascii="Calibri" w:eastAsia="黑体" w:hAnsi="Calibri" w:cs="Calibri"/>
                <w:szCs w:val="21"/>
              </w:rPr>
              <w:t>1000</w:t>
            </w:r>
            <w:r>
              <w:rPr>
                <w:rFonts w:ascii="Calibri" w:eastAsia="黑体" w:hAnsi="Calibri" w:cs="Calibri"/>
                <w:szCs w:val="21"/>
              </w:rPr>
              <w:t>Vdc</w:t>
            </w:r>
          </w:p>
        </w:tc>
      </w:tr>
      <w:tr w:rsidR="000B4378">
        <w:trPr>
          <w:trHeight w:val="378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0B4378" w:rsidRDefault="00D94A3F">
            <w:pPr>
              <w:rPr>
                <w:rFonts w:ascii="Calibri" w:eastAsia="黑体" w:hAnsi="Calibri" w:cs="Calibri"/>
                <w:szCs w:val="21"/>
              </w:rPr>
            </w:pPr>
            <w:r>
              <w:rPr>
                <w:rFonts w:ascii="Calibri" w:eastAsia="黑体" w:hAnsi="Calibri" w:cs="Calibri"/>
                <w:szCs w:val="21"/>
              </w:rPr>
              <w:t>最大输</w:t>
            </w:r>
          </w:p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出电流</w:t>
            </w:r>
          </w:p>
        </w:tc>
        <w:tc>
          <w:tcPr>
            <w:tcW w:w="1260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单枪充电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2</w:t>
            </w:r>
            <w:r>
              <w:rPr>
                <w:rFonts w:ascii="Calibri" w:eastAsia="黑体" w:hAnsi="Calibri" w:cs="Calibri" w:hint="eastAsia"/>
                <w:szCs w:val="21"/>
              </w:rPr>
              <w:t>5</w:t>
            </w:r>
            <w:r>
              <w:rPr>
                <w:rFonts w:ascii="Calibri" w:eastAsia="黑体" w:hAnsi="Calibri" w:cs="Calibri"/>
                <w:szCs w:val="21"/>
              </w:rPr>
              <w:t>0A</w:t>
            </w:r>
          </w:p>
        </w:tc>
      </w:tr>
      <w:tr w:rsidR="000B4378">
        <w:trPr>
          <w:trHeight w:val="378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1259" w:type="dxa"/>
            <w:vMerge/>
            <w:vAlign w:val="center"/>
          </w:tcPr>
          <w:p w:rsidR="000B4378" w:rsidRDefault="000B4378">
            <w:pPr>
              <w:rPr>
                <w:rFonts w:ascii="Calibri" w:eastAsia="黑体" w:hAnsi="Calibri" w:cs="Calibri"/>
              </w:rPr>
            </w:pPr>
          </w:p>
        </w:tc>
        <w:tc>
          <w:tcPr>
            <w:tcW w:w="1260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双枪同充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  <w:szCs w:val="21"/>
              </w:rPr>
              <w:t>2×</w:t>
            </w:r>
            <w:r>
              <w:rPr>
                <w:rFonts w:ascii="Calibri" w:eastAsia="黑体" w:hAnsi="Calibri" w:cs="Calibri" w:hint="eastAsia"/>
                <w:szCs w:val="21"/>
              </w:rPr>
              <w:t>25</w:t>
            </w:r>
            <w:r>
              <w:rPr>
                <w:rFonts w:ascii="Calibri" w:eastAsia="黑体" w:hAnsi="Calibri" w:cs="Calibri"/>
                <w:szCs w:val="21"/>
              </w:rPr>
              <w:t>0A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额定功率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240kW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稳压精度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≤±0.5</w:t>
            </w:r>
            <w:r>
              <w:rPr>
                <w:rFonts w:ascii="Calibri" w:eastAsia="黑体" w:hAnsi="Calibri" w:cs="Calibri"/>
              </w:rPr>
              <w:t>％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稳流精度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≤±1</w:t>
            </w:r>
            <w:r>
              <w:rPr>
                <w:rFonts w:ascii="Calibri" w:eastAsia="黑体" w:hAnsi="Calibri" w:cs="Calibri"/>
              </w:rPr>
              <w:t>％</w:t>
            </w:r>
          </w:p>
        </w:tc>
      </w:tr>
      <w:tr w:rsidR="000B4378">
        <w:trPr>
          <w:trHeight w:val="20"/>
        </w:trPr>
        <w:tc>
          <w:tcPr>
            <w:tcW w:w="566" w:type="dxa"/>
            <w:vMerge w:val="restart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保护特性</w:t>
            </w: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输入过压保护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437Vac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输入欠压保护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323Vac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过载保护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具备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过压保护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具备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过流保护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具备</w:t>
            </w:r>
          </w:p>
        </w:tc>
      </w:tr>
      <w:tr w:rsidR="000B4378">
        <w:trPr>
          <w:trHeight w:val="54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短路保护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具备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防雷保护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具备</w:t>
            </w:r>
          </w:p>
        </w:tc>
      </w:tr>
      <w:tr w:rsidR="000B4378">
        <w:trPr>
          <w:trHeight w:val="20"/>
        </w:trPr>
        <w:tc>
          <w:tcPr>
            <w:tcW w:w="566" w:type="dxa"/>
            <w:vMerge w:val="restart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人机操作</w:t>
            </w: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信号指示灯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待机（绿</w:t>
            </w:r>
            <w:r>
              <w:rPr>
                <w:rFonts w:ascii="Calibri" w:eastAsia="黑体" w:hAnsi="Calibri" w:cs="Calibri" w:hint="eastAsia"/>
              </w:rPr>
              <w:t>色</w:t>
            </w:r>
            <w:r>
              <w:rPr>
                <w:rFonts w:ascii="Calibri" w:eastAsia="黑体" w:hAnsi="Calibri" w:cs="Calibri"/>
              </w:rPr>
              <w:t>）、充电（红</w:t>
            </w:r>
            <w:r>
              <w:rPr>
                <w:rFonts w:ascii="Calibri" w:eastAsia="黑体" w:hAnsi="Calibri" w:cs="Calibri" w:hint="eastAsia"/>
              </w:rPr>
              <w:t>色</w:t>
            </w:r>
            <w:r>
              <w:rPr>
                <w:rFonts w:ascii="Calibri" w:eastAsia="黑体" w:hAnsi="Calibri" w:cs="Calibri"/>
              </w:rPr>
              <w:t>）、告警（黄</w:t>
            </w:r>
            <w:r>
              <w:rPr>
                <w:rFonts w:ascii="Calibri" w:eastAsia="黑体" w:hAnsi="Calibri" w:cs="Calibri" w:hint="eastAsia"/>
              </w:rPr>
              <w:t>色</w:t>
            </w:r>
            <w:r>
              <w:rPr>
                <w:rFonts w:ascii="Calibri" w:eastAsia="黑体" w:hAnsi="Calibri" w:cs="Calibri"/>
              </w:rPr>
              <w:t>）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急停开关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位于易见位置，紧急状况下可切断设备输出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人机界面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/>
              </w:rPr>
              <w:t>寸</w:t>
            </w:r>
            <w:r>
              <w:rPr>
                <w:rFonts w:ascii="Calibri" w:eastAsia="黑体" w:hAnsi="Calibri" w:cs="Calibri"/>
              </w:rPr>
              <w:t>LCD</w:t>
            </w:r>
            <w:r>
              <w:rPr>
                <w:rFonts w:ascii="Calibri" w:eastAsia="黑体" w:hAnsi="Calibri" w:cs="Calibri"/>
              </w:rPr>
              <w:t>液晶触摸屏，显示充电信息、</w:t>
            </w:r>
            <w:proofErr w:type="gramStart"/>
            <w:r>
              <w:rPr>
                <w:rFonts w:ascii="Calibri" w:eastAsia="黑体" w:hAnsi="Calibri" w:cs="Calibri"/>
              </w:rPr>
              <w:t>二维码信息</w:t>
            </w:r>
            <w:proofErr w:type="gramEnd"/>
            <w:r>
              <w:rPr>
                <w:rFonts w:ascii="Calibri" w:eastAsia="黑体" w:hAnsi="Calibri" w:cs="Calibri"/>
              </w:rPr>
              <w:t>，可扫</w:t>
            </w:r>
            <w:proofErr w:type="gramStart"/>
            <w:r>
              <w:rPr>
                <w:rFonts w:ascii="Calibri" w:eastAsia="黑体" w:hAnsi="Calibri" w:cs="Calibri"/>
              </w:rPr>
              <w:t>码支付</w:t>
            </w:r>
            <w:proofErr w:type="gramEnd"/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刷卡器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位于触摸屏的正下方，可刷卡启动</w:t>
            </w:r>
            <w:r>
              <w:rPr>
                <w:rFonts w:ascii="Calibri" w:eastAsia="黑体" w:hAnsi="Calibri" w:cs="Calibri"/>
              </w:rPr>
              <w:t>/</w:t>
            </w:r>
            <w:r>
              <w:rPr>
                <w:rFonts w:ascii="Calibri" w:eastAsia="黑体" w:hAnsi="Calibri" w:cs="Calibri"/>
              </w:rPr>
              <w:t>结束充电</w:t>
            </w:r>
          </w:p>
        </w:tc>
      </w:tr>
      <w:tr w:rsidR="000B4378">
        <w:trPr>
          <w:trHeight w:val="20"/>
        </w:trPr>
        <w:tc>
          <w:tcPr>
            <w:tcW w:w="566" w:type="dxa"/>
            <w:vMerge w:val="restart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其他特性</w:t>
            </w: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充电线缆长度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proofErr w:type="gramStart"/>
            <w:r>
              <w:rPr>
                <w:rFonts w:ascii="Calibri" w:eastAsia="黑体" w:hAnsi="Calibri" w:cs="Calibri"/>
              </w:rPr>
              <w:t>标配</w:t>
            </w: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/>
              </w:rPr>
              <w:t>米</w:t>
            </w:r>
            <w:proofErr w:type="gramEnd"/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刷卡模块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IS014443</w:t>
            </w:r>
            <w:r>
              <w:rPr>
                <w:rFonts w:ascii="Calibri" w:eastAsia="黑体" w:hAnsi="Calibri" w:cs="Calibri"/>
              </w:rPr>
              <w:t>，</w:t>
            </w:r>
            <w:r>
              <w:rPr>
                <w:rFonts w:ascii="Calibri" w:eastAsia="黑体" w:hAnsi="Calibri" w:cs="Calibri"/>
              </w:rPr>
              <w:t>Type A</w:t>
            </w:r>
            <w:r>
              <w:rPr>
                <w:rFonts w:ascii="Calibri" w:eastAsia="黑体" w:hAnsi="Calibri" w:cs="Calibri"/>
              </w:rPr>
              <w:t>、</w:t>
            </w:r>
            <w:proofErr w:type="spellStart"/>
            <w:r>
              <w:rPr>
                <w:rFonts w:ascii="Calibri" w:eastAsia="黑体" w:hAnsi="Calibri" w:cs="Calibri"/>
              </w:rPr>
              <w:t>Mifarel</w:t>
            </w:r>
            <w:proofErr w:type="spellEnd"/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噪声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≤65 dB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网络连接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4G</w:t>
            </w:r>
            <w:r>
              <w:rPr>
                <w:rFonts w:ascii="Calibri" w:eastAsia="黑体" w:hAnsi="Calibri" w:cs="Calibri"/>
              </w:rPr>
              <w:t>或以太网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防护等级</w:t>
            </w:r>
          </w:p>
        </w:tc>
        <w:tc>
          <w:tcPr>
            <w:tcW w:w="6379" w:type="dxa"/>
            <w:vAlign w:val="center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IP54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工作环境温度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-20℃</w:t>
            </w:r>
            <w:r>
              <w:rPr>
                <w:rFonts w:ascii="Calibri" w:eastAsia="黑体" w:hAnsi="Calibri" w:cs="Calibri"/>
              </w:rPr>
              <w:t>～</w:t>
            </w:r>
            <w:r>
              <w:rPr>
                <w:rFonts w:ascii="Calibri" w:eastAsia="黑体" w:hAnsi="Calibri" w:cs="Calibri"/>
              </w:rPr>
              <w:t>50℃</w:t>
            </w:r>
            <w:r>
              <w:rPr>
                <w:rFonts w:ascii="Calibri" w:eastAsia="黑体" w:hAnsi="Calibri" w:cs="Calibri"/>
              </w:rPr>
              <w:t>；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储存环境温度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-40℃</w:t>
            </w:r>
            <w:r>
              <w:rPr>
                <w:rFonts w:ascii="Calibri" w:eastAsia="黑体" w:hAnsi="Calibri" w:cs="Calibri"/>
              </w:rPr>
              <w:t>～</w:t>
            </w:r>
            <w:r>
              <w:rPr>
                <w:rFonts w:ascii="Calibri" w:eastAsia="黑体" w:hAnsi="Calibri" w:cs="Calibri"/>
              </w:rPr>
              <w:t>70℃</w:t>
            </w:r>
            <w:r>
              <w:rPr>
                <w:rFonts w:ascii="Calibri" w:eastAsia="黑体" w:hAnsi="Calibri" w:cs="Calibri"/>
              </w:rPr>
              <w:t>；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海拔高度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≤2000</w:t>
            </w:r>
            <w:r>
              <w:rPr>
                <w:rFonts w:ascii="Calibri" w:eastAsia="黑体" w:hAnsi="Calibri" w:cs="Calibri"/>
              </w:rPr>
              <w:t>米；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冷却方式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强制风冷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相对湿度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/>
              </w:rPr>
              <w:t>％～</w:t>
            </w:r>
            <w:r>
              <w:rPr>
                <w:rFonts w:ascii="Calibri" w:eastAsia="黑体" w:hAnsi="Calibri" w:cs="Calibri"/>
              </w:rPr>
              <w:t>95</w:t>
            </w:r>
            <w:r>
              <w:rPr>
                <w:rFonts w:ascii="Calibri" w:eastAsia="黑体" w:hAnsi="Calibri" w:cs="Calibri"/>
              </w:rPr>
              <w:t>％，无凝结；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工作环境</w:t>
            </w:r>
          </w:p>
        </w:tc>
        <w:tc>
          <w:tcPr>
            <w:tcW w:w="6379" w:type="dxa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室内、室外；</w:t>
            </w:r>
          </w:p>
        </w:tc>
      </w:tr>
      <w:tr w:rsidR="000B4378">
        <w:trPr>
          <w:trHeight w:val="20"/>
        </w:trPr>
        <w:tc>
          <w:tcPr>
            <w:tcW w:w="566" w:type="dxa"/>
            <w:vMerge/>
            <w:vAlign w:val="center"/>
          </w:tcPr>
          <w:p w:rsidR="000B4378" w:rsidRDefault="000B4378">
            <w:pPr>
              <w:jc w:val="center"/>
              <w:rPr>
                <w:rFonts w:ascii="Calibri" w:eastAsia="黑体" w:hAnsi="Calibri" w:cs="Calibri"/>
              </w:rPr>
            </w:pPr>
          </w:p>
        </w:tc>
        <w:tc>
          <w:tcPr>
            <w:tcW w:w="2519" w:type="dxa"/>
            <w:gridSpan w:val="2"/>
          </w:tcPr>
          <w:p w:rsidR="000B4378" w:rsidRDefault="00D94A3F">
            <w:pPr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/>
              </w:rPr>
              <w:t>外形尺寸</w:t>
            </w:r>
          </w:p>
        </w:tc>
        <w:tc>
          <w:tcPr>
            <w:tcW w:w="6379" w:type="dxa"/>
          </w:tcPr>
          <w:p w:rsidR="000B4378" w:rsidRDefault="00751E8E" w:rsidP="00751E8E">
            <w:pPr>
              <w:rPr>
                <w:rFonts w:ascii="Calibri" w:eastAsia="黑体" w:hAnsi="Calibri" w:cs="Calibri"/>
              </w:rPr>
            </w:pPr>
            <w:proofErr w:type="gramStart"/>
            <w:r>
              <w:rPr>
                <w:rFonts w:ascii="Calibri" w:eastAsia="黑体" w:hAnsi="Calibri" w:cs="Calibri"/>
              </w:rPr>
              <w:t>7</w:t>
            </w:r>
            <w:r w:rsidR="00D94A3F">
              <w:rPr>
                <w:rFonts w:ascii="Calibri" w:eastAsia="黑体" w:hAnsi="Calibri" w:cs="Calibri"/>
              </w:rPr>
              <w:t>00×</w:t>
            </w:r>
            <w:r>
              <w:rPr>
                <w:rFonts w:ascii="Calibri" w:eastAsia="黑体" w:hAnsi="Calibri" w:cs="Calibri"/>
              </w:rPr>
              <w:t>7</w:t>
            </w:r>
            <w:r w:rsidR="00D94A3F">
              <w:rPr>
                <w:rFonts w:ascii="Calibri" w:eastAsia="黑体" w:hAnsi="Calibri" w:cs="Calibri"/>
              </w:rPr>
              <w:t>00×</w:t>
            </w:r>
            <w:proofErr w:type="gramEnd"/>
            <w:r w:rsidR="00D94A3F">
              <w:rPr>
                <w:rFonts w:ascii="Calibri" w:eastAsia="黑体" w:hAnsi="Calibri" w:cs="Calibri"/>
              </w:rPr>
              <w:t>1</w:t>
            </w:r>
            <w:r>
              <w:rPr>
                <w:rFonts w:ascii="Calibri" w:eastAsia="黑体" w:hAnsi="Calibri" w:cs="Calibri"/>
              </w:rPr>
              <w:t>8</w:t>
            </w:r>
            <w:r w:rsidR="00D94A3F">
              <w:rPr>
                <w:rFonts w:ascii="Calibri" w:eastAsia="黑体" w:hAnsi="Calibri" w:cs="Calibri"/>
              </w:rPr>
              <w:t>00mm</w:t>
            </w:r>
            <w:r w:rsidR="00D94A3F">
              <w:rPr>
                <w:rFonts w:ascii="Calibri" w:eastAsia="黑体" w:hAnsi="Calibri" w:cs="Calibri"/>
              </w:rPr>
              <w:t>（</w:t>
            </w:r>
            <w:r w:rsidR="00D94A3F">
              <w:rPr>
                <w:rFonts w:ascii="Calibri" w:eastAsia="黑体" w:hAnsi="Calibri" w:cs="Calibri"/>
              </w:rPr>
              <w:t>W×D×H</w:t>
            </w:r>
            <w:r w:rsidR="00D94A3F">
              <w:rPr>
                <w:rFonts w:ascii="Calibri" w:eastAsia="黑体" w:hAnsi="Calibri" w:cs="Calibri"/>
              </w:rPr>
              <w:t>）</w:t>
            </w:r>
          </w:p>
        </w:tc>
      </w:tr>
    </w:tbl>
    <w:p w:rsidR="000B4378" w:rsidRDefault="000B4378">
      <w:pPr>
        <w:rPr>
          <w:rFonts w:ascii="Calibri" w:hAnsi="Calibri" w:cs="Calibri"/>
        </w:rPr>
      </w:pPr>
    </w:p>
    <w:p w:rsidR="000B4378" w:rsidRPr="00751E8E" w:rsidRDefault="000B4378">
      <w:pPr>
        <w:rPr>
          <w:rFonts w:ascii="Calibri" w:hAnsi="Calibri" w:cs="Calibri"/>
        </w:rPr>
      </w:pPr>
      <w:bookmarkStart w:id="0" w:name="_GoBack"/>
      <w:bookmarkEnd w:id="0"/>
    </w:p>
    <w:p w:rsidR="000B4378" w:rsidRDefault="000B4378">
      <w:pPr>
        <w:rPr>
          <w:rFonts w:ascii="Calibri" w:hAnsi="Calibri" w:cs="Calibri"/>
        </w:rPr>
      </w:pPr>
    </w:p>
    <w:p w:rsidR="000B4378" w:rsidRDefault="000B4378">
      <w:pPr>
        <w:rPr>
          <w:rFonts w:ascii="Calibri" w:hAnsi="Calibri" w:cs="Calibri"/>
        </w:rPr>
      </w:pPr>
    </w:p>
    <w:p w:rsidR="000B4378" w:rsidRDefault="000B4378">
      <w:pPr>
        <w:rPr>
          <w:rFonts w:ascii="Calibri" w:hAnsi="Calibri" w:cs="Calibri"/>
        </w:rPr>
      </w:pPr>
    </w:p>
    <w:p w:rsidR="000B4378" w:rsidRDefault="00D94A3F">
      <w:pPr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s1073" type="#_x0000_t202" style="position:absolute;left:0;text-align:left;margin-left:-.1pt;margin-top:9.7pt;width:109.25pt;height:23.4pt;z-index:251664384;mso-width-relative:page;mso-height-relative:page" filled="f" stroked="f">
            <v:textbox>
              <w:txbxContent>
                <w:p w:rsidR="000B4378" w:rsidRDefault="00D94A3F">
                  <w:pPr>
                    <w:rPr>
                      <w:rFonts w:ascii="黑体" w:eastAsia="黑体"/>
                      <w:color w:val="000000"/>
                      <w:sz w:val="24"/>
                    </w:rPr>
                  </w:pPr>
                  <w:r>
                    <w:rPr>
                      <w:rFonts w:ascii="黑体" w:eastAsia="黑体" w:hint="eastAsia"/>
                      <w:color w:val="000000"/>
                      <w:sz w:val="24"/>
                    </w:rPr>
                    <w:t>供电插头布置图</w:t>
                  </w:r>
                </w:p>
                <w:p w:rsidR="000B4378" w:rsidRDefault="000B437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121920</wp:posOffset>
            </wp:positionV>
            <wp:extent cx="5926455" cy="23050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3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78" w:rsidRDefault="000B4378">
      <w:pPr>
        <w:rPr>
          <w:rFonts w:ascii="Calibri" w:hAnsi="Calibri" w:cs="Calibri"/>
        </w:rPr>
      </w:pPr>
    </w:p>
    <w:p w:rsidR="000B4378" w:rsidRDefault="00D94A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114300" distR="114300">
            <wp:extent cx="2378075" cy="2009140"/>
            <wp:effectExtent l="0" t="0" r="3175" b="10160"/>
            <wp:docPr id="5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78" w:rsidRDefault="00D94A3F">
      <w:pPr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s1052" type="#_x0000_t202" style="position:absolute;left:0;text-align:left;margin-left:1.65pt;margin-top:4.05pt;width:69.75pt;height:23.4pt;z-index:251661312;mso-width-relative:page;mso-height-relative:page" filled="f" stroked="f">
            <v:textbox>
              <w:txbxContent>
                <w:p w:rsidR="000B4378" w:rsidRDefault="00D94A3F">
                  <w:pPr>
                    <w:rPr>
                      <w:rFonts w:ascii="黑体" w:eastAsia="黑体"/>
                      <w:color w:val="000000"/>
                      <w:sz w:val="24"/>
                    </w:rPr>
                  </w:pPr>
                  <w:r>
                    <w:rPr>
                      <w:rFonts w:eastAsia="黑体" w:hint="eastAsia"/>
                      <w:color w:val="000000"/>
                      <w:sz w:val="24"/>
                    </w:rPr>
                    <w:t>安装基础</w:t>
                  </w:r>
                </w:p>
                <w:p w:rsidR="000B4378" w:rsidRDefault="000B437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66675</wp:posOffset>
            </wp:positionV>
            <wp:extent cx="5926455" cy="23050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3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378" w:rsidRDefault="000B4378">
      <w:pPr>
        <w:rPr>
          <w:rFonts w:ascii="Calibri" w:hAnsi="Calibri" w:cs="Calibri"/>
        </w:rPr>
      </w:pPr>
    </w:p>
    <w:p w:rsidR="000B4378" w:rsidRDefault="00D94A3F">
      <w:pPr>
        <w:rPr>
          <w:rFonts w:ascii="Calibri" w:hAnsi="Calibri" w:cs="Calibri"/>
          <w:color w:val="000000"/>
          <w:kern w:val="24"/>
        </w:rPr>
      </w:pPr>
      <w:r>
        <w:rPr>
          <w:rFonts w:ascii="Calibri" w:hAnsi="Calibri" w:cs="Calibri"/>
          <w:color w:val="000000"/>
          <w:kern w:val="24"/>
        </w:rPr>
        <w:t>安装孔位（单位：</w:t>
      </w:r>
      <w:r>
        <w:rPr>
          <w:rFonts w:ascii="Calibri" w:hAnsi="Calibri" w:cs="Calibri"/>
          <w:color w:val="000000"/>
          <w:kern w:val="24"/>
        </w:rPr>
        <w:t>mm</w:t>
      </w:r>
      <w:r>
        <w:rPr>
          <w:rFonts w:ascii="Calibri" w:hAnsi="Calibri" w:cs="Calibri"/>
          <w:color w:val="000000"/>
          <w:kern w:val="24"/>
        </w:rPr>
        <w:t>）：</w:t>
      </w:r>
    </w:p>
    <w:p w:rsidR="000B4378" w:rsidRDefault="00D94A3F">
      <w:pPr>
        <w:ind w:firstLineChars="200" w:firstLine="42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811270" cy="3225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78" w:rsidRDefault="00D94A3F">
      <w:pPr>
        <w:ind w:firstLineChars="200" w:firstLine="420"/>
        <w:rPr>
          <w:rFonts w:ascii="Calibri" w:eastAsia="微软雅黑" w:hAnsi="Calibri" w:cs="Calibri"/>
        </w:rPr>
      </w:pPr>
      <w:r>
        <w:rPr>
          <w:rFonts w:ascii="Calibri" w:eastAsia="微软雅黑" w:hAnsi="Calibri" w:cs="Calibri"/>
        </w:rPr>
        <w:t>说明：</w:t>
      </w:r>
      <w:r>
        <w:rPr>
          <w:rFonts w:ascii="Calibri" w:eastAsia="微软雅黑" w:hAnsi="Calibri" w:cs="Calibri"/>
        </w:rPr>
        <w:t xml:space="preserve"> </w:t>
      </w:r>
    </w:p>
    <w:p w:rsidR="000B4378" w:rsidRDefault="00D94A3F">
      <w:pPr>
        <w:ind w:firstLineChars="200" w:firstLine="420"/>
        <w:rPr>
          <w:rFonts w:ascii="Calibri" w:eastAsia="微软雅黑" w:hAnsi="Calibri" w:cs="Calibri"/>
        </w:rPr>
      </w:pPr>
      <w:r>
        <w:rPr>
          <w:rFonts w:ascii="Calibri" w:eastAsia="微软雅黑" w:hAnsi="Calibri" w:cs="Calibri"/>
        </w:rPr>
        <w:t> 1</w:t>
      </w:r>
      <w:r>
        <w:rPr>
          <w:rFonts w:ascii="Calibri" w:eastAsia="微软雅黑" w:hAnsi="Calibri" w:cs="Calibri"/>
        </w:rPr>
        <w:t>、设备四角位置的开孔（</w:t>
      </w:r>
      <w:r>
        <w:rPr>
          <w:rFonts w:ascii="Calibri" w:eastAsia="微软雅黑" w:hAnsi="Calibri" w:cs="Calibri"/>
        </w:rPr>
        <w:t xml:space="preserve">4-φ14 ×20 </w:t>
      </w:r>
      <w:r>
        <w:rPr>
          <w:rFonts w:ascii="Calibri" w:eastAsia="微软雅黑" w:hAnsi="Calibri" w:cs="Calibri"/>
        </w:rPr>
        <w:t>的腰孔）为机柜的地脚螺栓安装固定孔；</w:t>
      </w:r>
      <w:r>
        <w:rPr>
          <w:rFonts w:ascii="Calibri" w:eastAsia="微软雅黑" w:hAnsi="Calibri" w:cs="Calibri"/>
        </w:rPr>
        <w:t xml:space="preserve"> </w:t>
      </w:r>
    </w:p>
    <w:p w:rsidR="000B4378" w:rsidRDefault="00D94A3F">
      <w:pPr>
        <w:ind w:firstLineChars="200" w:firstLine="420"/>
        <w:rPr>
          <w:rFonts w:ascii="Calibri" w:eastAsia="微软雅黑" w:hAnsi="Calibri" w:cs="Calibri"/>
        </w:rPr>
      </w:pPr>
      <w:r>
        <w:rPr>
          <w:rFonts w:ascii="Calibri" w:eastAsia="微软雅黑" w:hAnsi="Calibri" w:cs="Calibri"/>
        </w:rPr>
        <w:t> 2</w:t>
      </w:r>
      <w:r>
        <w:rPr>
          <w:rFonts w:ascii="Calibri" w:eastAsia="微软雅黑" w:hAnsi="Calibri" w:cs="Calibri"/>
        </w:rPr>
        <w:t>、设备底部具备</w:t>
      </w:r>
      <w:r>
        <w:rPr>
          <w:rFonts w:ascii="Calibri" w:eastAsia="微软雅黑" w:hAnsi="Calibri" w:cs="Calibri"/>
        </w:rPr>
        <w:t>3</w:t>
      </w:r>
      <w:r>
        <w:rPr>
          <w:rFonts w:ascii="Calibri" w:eastAsia="微软雅黑" w:hAnsi="Calibri" w:cs="Calibri"/>
        </w:rPr>
        <w:t>个</w:t>
      </w:r>
      <w:r>
        <w:rPr>
          <w:rFonts w:ascii="Calibri" w:eastAsia="微软雅黑" w:hAnsi="Calibri" w:cs="Calibri"/>
        </w:rPr>
        <w:t>φ80</w:t>
      </w:r>
      <w:r>
        <w:rPr>
          <w:rFonts w:ascii="Calibri" w:eastAsia="微软雅黑" w:hAnsi="Calibri" w:cs="Calibri"/>
        </w:rPr>
        <w:t>的圆孔，均有盖板封住，选择其中一个圆孔作为交流电源线缆接入的穿线孔，安装完成后，各</w:t>
      </w:r>
      <w:proofErr w:type="gramStart"/>
      <w:r>
        <w:rPr>
          <w:rFonts w:ascii="Calibri" w:eastAsia="微软雅黑" w:hAnsi="Calibri" w:cs="Calibri"/>
        </w:rPr>
        <w:t>穿线孔需使用</w:t>
      </w:r>
      <w:proofErr w:type="gramEnd"/>
      <w:r>
        <w:rPr>
          <w:rFonts w:ascii="Calibri" w:eastAsia="微软雅黑" w:hAnsi="Calibri" w:cs="Calibri"/>
        </w:rPr>
        <w:t>防火泥堵住，防止地下潮气进入设备内影响部件性能；</w:t>
      </w:r>
      <w:r>
        <w:rPr>
          <w:rFonts w:ascii="Calibri" w:eastAsia="微软雅黑" w:hAnsi="Calibri" w:cs="Calibri"/>
        </w:rPr>
        <w:t xml:space="preserve"> </w:t>
      </w:r>
    </w:p>
    <w:p w:rsidR="000B4378" w:rsidRDefault="00D94A3F">
      <w:pPr>
        <w:ind w:firstLineChars="200" w:firstLine="420"/>
        <w:rPr>
          <w:rFonts w:ascii="Calibri" w:hAnsi="Calibri" w:cs="Calibri"/>
        </w:rPr>
      </w:pPr>
      <w:r>
        <w:rPr>
          <w:rFonts w:ascii="Calibri" w:eastAsia="微软雅黑" w:hAnsi="Calibri" w:cs="Calibri"/>
        </w:rPr>
        <w:t> 3</w:t>
      </w:r>
      <w:r>
        <w:rPr>
          <w:rFonts w:ascii="Calibri" w:eastAsia="微软雅黑" w:hAnsi="Calibri" w:cs="Calibri"/>
        </w:rPr>
        <w:t>、放置设备的底座基础高度建议不高于</w:t>
      </w:r>
      <w:r>
        <w:rPr>
          <w:rFonts w:ascii="Calibri" w:eastAsia="微软雅黑" w:hAnsi="Calibri" w:cs="Calibri"/>
        </w:rPr>
        <w:t>200mm</w:t>
      </w:r>
      <w:r>
        <w:rPr>
          <w:rFonts w:ascii="Calibri" w:eastAsia="微软雅黑" w:hAnsi="Calibri" w:cs="Calibri"/>
        </w:rPr>
        <w:t>，以免拔枪困难；</w:t>
      </w:r>
      <w:r>
        <w:rPr>
          <w:rFonts w:ascii="Calibri" w:hAnsi="Calibri" w:cs="Calibri"/>
        </w:rPr>
        <w:t xml:space="preserve"> </w:t>
      </w:r>
    </w:p>
    <w:p w:rsidR="000B4378" w:rsidRDefault="000B4378">
      <w:pPr>
        <w:ind w:firstLineChars="200" w:firstLine="420"/>
        <w:rPr>
          <w:rFonts w:ascii="Calibri" w:hAnsi="Calibri" w:cs="Calibri"/>
        </w:rPr>
      </w:pPr>
    </w:p>
    <w:sectPr w:rsidR="000B4378">
      <w:headerReference w:type="even" r:id="rId17"/>
      <w:headerReference w:type="default" r:id="rId18"/>
      <w:footerReference w:type="default" r:id="rId19"/>
      <w:headerReference w:type="first" r:id="rId20"/>
      <w:pgSz w:w="11907" w:h="16839"/>
      <w:pgMar w:top="1340" w:right="1134" w:bottom="1134" w:left="1134" w:header="568" w:footer="37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3F" w:rsidRDefault="00D94A3F">
      <w:r>
        <w:separator/>
      </w:r>
    </w:p>
  </w:endnote>
  <w:endnote w:type="continuationSeparator" w:id="0">
    <w:p w:rsidR="00D94A3F" w:rsidRDefault="00D9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78" w:rsidRDefault="00D94A3F">
    <w:pPr>
      <w:pStyle w:val="a5"/>
      <w:jc w:val="center"/>
    </w:pPr>
    <w:r>
      <w:rPr>
        <w:noProof/>
      </w:rPr>
      <w:drawing>
        <wp:inline distT="0" distB="0" distL="0" distR="0">
          <wp:extent cx="6120765" cy="378460"/>
          <wp:effectExtent l="0" t="0" r="0" b="0"/>
          <wp:docPr id="20" name="图片 2" descr="股份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" descr="股份公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3F" w:rsidRDefault="00D94A3F">
      <w:r>
        <w:separator/>
      </w:r>
    </w:p>
  </w:footnote>
  <w:footnote w:type="continuationSeparator" w:id="0">
    <w:p w:rsidR="00D94A3F" w:rsidRDefault="00D9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78" w:rsidRDefault="00D94A3F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26570" o:spid="_x0000_s2052" type="#_x0000_t136" style="position:absolute;left:0;text-align:left;margin-left:0;margin-top:0;width:555.9pt;height:123.5pt;rotation:315;z-index:-2516449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HIKVI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78" w:rsidRDefault="00D94A3F">
    <w:pPr>
      <w:pStyle w:val="a7"/>
      <w:pBdr>
        <w:bottom w:val="single" w:sz="6" w:space="0" w:color="auto"/>
      </w:pBdr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26571" o:spid="_x0000_s2053" type="#_x0000_t136" style="position:absolute;left:0;text-align:left;margin-left:0;margin-top:0;width:555.9pt;height:123.5pt;rotation:315;z-index:-25164288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HIKVISION"/>
          <w10:wrap anchorx="margin" anchory="margin"/>
        </v:shape>
      </w:pict>
    </w:r>
  </w:p>
  <w:p w:rsidR="000B4378" w:rsidRDefault="00D94A3F">
    <w:pPr>
      <w:pStyle w:val="a7"/>
      <w:pBdr>
        <w:bottom w:val="single" w:sz="6" w:space="0" w:color="auto"/>
      </w:pBdr>
      <w:jc w:val="right"/>
      <w:rPr>
        <w:b/>
      </w:rPr>
    </w:pPr>
    <w:r>
      <w:rPr>
        <w:rFonts w:hint="eastAsia"/>
        <w:noProof/>
      </w:rPr>
      <w:drawing>
        <wp:inline distT="0" distB="0" distL="0" distR="0">
          <wp:extent cx="1609725" cy="209550"/>
          <wp:effectExtent l="0" t="0" r="9525" b="0"/>
          <wp:docPr id="19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78" w:rsidRDefault="00D94A3F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26569" o:spid="_x0000_s2051" type="#_x0000_t136" style="position:absolute;left:0;text-align:left;margin-left:0;margin-top:0;width:555.9pt;height:123.5pt;rotation:315;z-index:-25164697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HIKVI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FC3"/>
    <w:multiLevelType w:val="multilevel"/>
    <w:tmpl w:val="72F27FC3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lMjNiN2ZlOGI3M2QwMWMxYTI3YjgyMmNhODllYzQifQ=="/>
  </w:docVars>
  <w:rsids>
    <w:rsidRoot w:val="00085237"/>
    <w:rsid w:val="00006AD4"/>
    <w:rsid w:val="00011B42"/>
    <w:rsid w:val="0001590B"/>
    <w:rsid w:val="00051BEE"/>
    <w:rsid w:val="00057875"/>
    <w:rsid w:val="00057DE1"/>
    <w:rsid w:val="00057F8B"/>
    <w:rsid w:val="000650D9"/>
    <w:rsid w:val="00076CBD"/>
    <w:rsid w:val="00076D5D"/>
    <w:rsid w:val="00085237"/>
    <w:rsid w:val="0008712E"/>
    <w:rsid w:val="00095DC1"/>
    <w:rsid w:val="000A748C"/>
    <w:rsid w:val="000B4378"/>
    <w:rsid w:val="000D1AB3"/>
    <w:rsid w:val="000E25A9"/>
    <w:rsid w:val="000E7873"/>
    <w:rsid w:val="00100C88"/>
    <w:rsid w:val="00101891"/>
    <w:rsid w:val="00101A38"/>
    <w:rsid w:val="0010504E"/>
    <w:rsid w:val="001151FF"/>
    <w:rsid w:val="001212EE"/>
    <w:rsid w:val="001256F2"/>
    <w:rsid w:val="001416E8"/>
    <w:rsid w:val="00144B7C"/>
    <w:rsid w:val="00151B57"/>
    <w:rsid w:val="00155D76"/>
    <w:rsid w:val="00166D90"/>
    <w:rsid w:val="00170B51"/>
    <w:rsid w:val="00175C30"/>
    <w:rsid w:val="0018212D"/>
    <w:rsid w:val="001872AC"/>
    <w:rsid w:val="001A663F"/>
    <w:rsid w:val="001B4B0C"/>
    <w:rsid w:val="001C4CA4"/>
    <w:rsid w:val="001C4DA8"/>
    <w:rsid w:val="001C5869"/>
    <w:rsid w:val="001C72CF"/>
    <w:rsid w:val="001D0AD8"/>
    <w:rsid w:val="001D0E1F"/>
    <w:rsid w:val="001D575C"/>
    <w:rsid w:val="00202302"/>
    <w:rsid w:val="00216F9C"/>
    <w:rsid w:val="002A312E"/>
    <w:rsid w:val="002C020F"/>
    <w:rsid w:val="002C60FD"/>
    <w:rsid w:val="002C6C93"/>
    <w:rsid w:val="002D09B7"/>
    <w:rsid w:val="002D1E14"/>
    <w:rsid w:val="002D7CFA"/>
    <w:rsid w:val="002E216E"/>
    <w:rsid w:val="002E7400"/>
    <w:rsid w:val="002F0E2D"/>
    <w:rsid w:val="00301B2A"/>
    <w:rsid w:val="0031676E"/>
    <w:rsid w:val="00323C60"/>
    <w:rsid w:val="003313F9"/>
    <w:rsid w:val="00336833"/>
    <w:rsid w:val="00350C1C"/>
    <w:rsid w:val="0035763C"/>
    <w:rsid w:val="00360970"/>
    <w:rsid w:val="003651D7"/>
    <w:rsid w:val="00383B5C"/>
    <w:rsid w:val="00386CCC"/>
    <w:rsid w:val="00387509"/>
    <w:rsid w:val="003B3AD1"/>
    <w:rsid w:val="003C19EA"/>
    <w:rsid w:val="003C1D8E"/>
    <w:rsid w:val="003C5314"/>
    <w:rsid w:val="003C6538"/>
    <w:rsid w:val="003D4407"/>
    <w:rsid w:val="003D4936"/>
    <w:rsid w:val="003E5B3D"/>
    <w:rsid w:val="003F147C"/>
    <w:rsid w:val="003F59D2"/>
    <w:rsid w:val="0040011D"/>
    <w:rsid w:val="00400E96"/>
    <w:rsid w:val="00402045"/>
    <w:rsid w:val="00407677"/>
    <w:rsid w:val="00437E94"/>
    <w:rsid w:val="0044025E"/>
    <w:rsid w:val="004404AF"/>
    <w:rsid w:val="00442F84"/>
    <w:rsid w:val="00446856"/>
    <w:rsid w:val="00456579"/>
    <w:rsid w:val="004662F0"/>
    <w:rsid w:val="00466FF0"/>
    <w:rsid w:val="0047349F"/>
    <w:rsid w:val="004B26B7"/>
    <w:rsid w:val="004C632A"/>
    <w:rsid w:val="004D3132"/>
    <w:rsid w:val="004D4111"/>
    <w:rsid w:val="004E4FDB"/>
    <w:rsid w:val="004F0423"/>
    <w:rsid w:val="004F571F"/>
    <w:rsid w:val="004F717D"/>
    <w:rsid w:val="00506E9F"/>
    <w:rsid w:val="00506F2D"/>
    <w:rsid w:val="005221BC"/>
    <w:rsid w:val="005263A1"/>
    <w:rsid w:val="0052791B"/>
    <w:rsid w:val="00532A93"/>
    <w:rsid w:val="0053386B"/>
    <w:rsid w:val="00562B16"/>
    <w:rsid w:val="00576E75"/>
    <w:rsid w:val="00580F06"/>
    <w:rsid w:val="00591170"/>
    <w:rsid w:val="00596119"/>
    <w:rsid w:val="005A2B71"/>
    <w:rsid w:val="005A539C"/>
    <w:rsid w:val="005B135C"/>
    <w:rsid w:val="005B5CE8"/>
    <w:rsid w:val="005D1CB0"/>
    <w:rsid w:val="005E557E"/>
    <w:rsid w:val="005E7786"/>
    <w:rsid w:val="005E7F35"/>
    <w:rsid w:val="005F3A73"/>
    <w:rsid w:val="005F569B"/>
    <w:rsid w:val="00605AEF"/>
    <w:rsid w:val="00606C81"/>
    <w:rsid w:val="0063360A"/>
    <w:rsid w:val="00633C4C"/>
    <w:rsid w:val="00652883"/>
    <w:rsid w:val="00652CBA"/>
    <w:rsid w:val="00657758"/>
    <w:rsid w:val="006663E4"/>
    <w:rsid w:val="0067528E"/>
    <w:rsid w:val="006A0B43"/>
    <w:rsid w:val="006A203B"/>
    <w:rsid w:val="006A5998"/>
    <w:rsid w:val="006A6B09"/>
    <w:rsid w:val="006B63FD"/>
    <w:rsid w:val="006C1152"/>
    <w:rsid w:val="006C1E26"/>
    <w:rsid w:val="006F0A16"/>
    <w:rsid w:val="006F3FAE"/>
    <w:rsid w:val="006F5D1F"/>
    <w:rsid w:val="007366BC"/>
    <w:rsid w:val="00745FB1"/>
    <w:rsid w:val="0074605E"/>
    <w:rsid w:val="00751E8E"/>
    <w:rsid w:val="0075465C"/>
    <w:rsid w:val="007706AC"/>
    <w:rsid w:val="00773C8F"/>
    <w:rsid w:val="007907AA"/>
    <w:rsid w:val="00797BFD"/>
    <w:rsid w:val="007F48E6"/>
    <w:rsid w:val="008003B3"/>
    <w:rsid w:val="00803551"/>
    <w:rsid w:val="008103A6"/>
    <w:rsid w:val="00827BFB"/>
    <w:rsid w:val="00855FA7"/>
    <w:rsid w:val="00872974"/>
    <w:rsid w:val="00882267"/>
    <w:rsid w:val="00896D28"/>
    <w:rsid w:val="008A60D0"/>
    <w:rsid w:val="008B1C2C"/>
    <w:rsid w:val="008C25E8"/>
    <w:rsid w:val="008C5311"/>
    <w:rsid w:val="008C668C"/>
    <w:rsid w:val="008D6780"/>
    <w:rsid w:val="008E0AB0"/>
    <w:rsid w:val="008E4DA9"/>
    <w:rsid w:val="008F143C"/>
    <w:rsid w:val="008F2865"/>
    <w:rsid w:val="00904091"/>
    <w:rsid w:val="00907790"/>
    <w:rsid w:val="00914233"/>
    <w:rsid w:val="00916654"/>
    <w:rsid w:val="00947C82"/>
    <w:rsid w:val="009526A2"/>
    <w:rsid w:val="00953FE9"/>
    <w:rsid w:val="00956291"/>
    <w:rsid w:val="00960021"/>
    <w:rsid w:val="00974E65"/>
    <w:rsid w:val="00994793"/>
    <w:rsid w:val="009A3A60"/>
    <w:rsid w:val="009C6EE2"/>
    <w:rsid w:val="009D4D82"/>
    <w:rsid w:val="009D6C77"/>
    <w:rsid w:val="009E0995"/>
    <w:rsid w:val="009E4BF4"/>
    <w:rsid w:val="00A040EB"/>
    <w:rsid w:val="00A15F38"/>
    <w:rsid w:val="00A32A20"/>
    <w:rsid w:val="00A3744E"/>
    <w:rsid w:val="00A404C5"/>
    <w:rsid w:val="00A4281E"/>
    <w:rsid w:val="00A52585"/>
    <w:rsid w:val="00A53575"/>
    <w:rsid w:val="00A70FF8"/>
    <w:rsid w:val="00A87F63"/>
    <w:rsid w:val="00A94E28"/>
    <w:rsid w:val="00A973FA"/>
    <w:rsid w:val="00AA182C"/>
    <w:rsid w:val="00AA65DA"/>
    <w:rsid w:val="00AA76DD"/>
    <w:rsid w:val="00AD359B"/>
    <w:rsid w:val="00AF2680"/>
    <w:rsid w:val="00B02215"/>
    <w:rsid w:val="00B02ED8"/>
    <w:rsid w:val="00B0647B"/>
    <w:rsid w:val="00B07551"/>
    <w:rsid w:val="00B2341B"/>
    <w:rsid w:val="00B23FE4"/>
    <w:rsid w:val="00B61708"/>
    <w:rsid w:val="00B82EE1"/>
    <w:rsid w:val="00B92A7F"/>
    <w:rsid w:val="00B93A7E"/>
    <w:rsid w:val="00BA07A2"/>
    <w:rsid w:val="00BC1922"/>
    <w:rsid w:val="00BC1B6E"/>
    <w:rsid w:val="00BD2914"/>
    <w:rsid w:val="00BE4E0D"/>
    <w:rsid w:val="00BE4E5C"/>
    <w:rsid w:val="00C00D46"/>
    <w:rsid w:val="00C0229D"/>
    <w:rsid w:val="00C02C10"/>
    <w:rsid w:val="00C07B09"/>
    <w:rsid w:val="00C10DDC"/>
    <w:rsid w:val="00C24BB8"/>
    <w:rsid w:val="00C3650E"/>
    <w:rsid w:val="00C45BE4"/>
    <w:rsid w:val="00C46078"/>
    <w:rsid w:val="00C550AE"/>
    <w:rsid w:val="00C816BE"/>
    <w:rsid w:val="00C86570"/>
    <w:rsid w:val="00C9190F"/>
    <w:rsid w:val="00CA3203"/>
    <w:rsid w:val="00CB3E39"/>
    <w:rsid w:val="00CC4FFA"/>
    <w:rsid w:val="00CE38D2"/>
    <w:rsid w:val="00D005F2"/>
    <w:rsid w:val="00D06B45"/>
    <w:rsid w:val="00D11066"/>
    <w:rsid w:val="00D11A3D"/>
    <w:rsid w:val="00D476AB"/>
    <w:rsid w:val="00D74343"/>
    <w:rsid w:val="00D7652E"/>
    <w:rsid w:val="00D81F80"/>
    <w:rsid w:val="00D82C04"/>
    <w:rsid w:val="00D8600C"/>
    <w:rsid w:val="00D94A3F"/>
    <w:rsid w:val="00D94B9A"/>
    <w:rsid w:val="00DA20DB"/>
    <w:rsid w:val="00DB5885"/>
    <w:rsid w:val="00DC7E16"/>
    <w:rsid w:val="00DD6FE2"/>
    <w:rsid w:val="00DD738E"/>
    <w:rsid w:val="00DD77EC"/>
    <w:rsid w:val="00DE71CA"/>
    <w:rsid w:val="00DF319C"/>
    <w:rsid w:val="00E033F4"/>
    <w:rsid w:val="00E06C1C"/>
    <w:rsid w:val="00E15B01"/>
    <w:rsid w:val="00E20131"/>
    <w:rsid w:val="00E353BC"/>
    <w:rsid w:val="00E437B3"/>
    <w:rsid w:val="00E5421A"/>
    <w:rsid w:val="00E613B1"/>
    <w:rsid w:val="00E65237"/>
    <w:rsid w:val="00E7447D"/>
    <w:rsid w:val="00E77955"/>
    <w:rsid w:val="00E961E3"/>
    <w:rsid w:val="00EB0427"/>
    <w:rsid w:val="00EB74AA"/>
    <w:rsid w:val="00EC1CDF"/>
    <w:rsid w:val="00EC5178"/>
    <w:rsid w:val="00EC6315"/>
    <w:rsid w:val="00EC74CA"/>
    <w:rsid w:val="00ED0303"/>
    <w:rsid w:val="00EE7A20"/>
    <w:rsid w:val="00EF7796"/>
    <w:rsid w:val="00F03F22"/>
    <w:rsid w:val="00F04004"/>
    <w:rsid w:val="00F07F49"/>
    <w:rsid w:val="00F13A28"/>
    <w:rsid w:val="00F16ECB"/>
    <w:rsid w:val="00F2118A"/>
    <w:rsid w:val="00F21407"/>
    <w:rsid w:val="00F2556E"/>
    <w:rsid w:val="00F4112D"/>
    <w:rsid w:val="00F44911"/>
    <w:rsid w:val="00F464EB"/>
    <w:rsid w:val="00F47393"/>
    <w:rsid w:val="00F6165A"/>
    <w:rsid w:val="00F711F5"/>
    <w:rsid w:val="00F74951"/>
    <w:rsid w:val="00F76684"/>
    <w:rsid w:val="00F90BF6"/>
    <w:rsid w:val="00FE2777"/>
    <w:rsid w:val="00FE30E2"/>
    <w:rsid w:val="00FF1F54"/>
    <w:rsid w:val="00FF237C"/>
    <w:rsid w:val="15914BF2"/>
    <w:rsid w:val="3AAB4F99"/>
    <w:rsid w:val="5E3E06E9"/>
    <w:rsid w:val="69F34A72"/>
    <w:rsid w:val="72B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3BBE6949"/>
  <w15:docId w15:val="{0BC5CC18-8749-4C9C-85BA-4F0EE6E9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  <customShpInfo spid="_x0000_s1075"/>
    <customShpInfo spid="_x0000_s1046"/>
    <customShpInfo spid="_x0000_s1057"/>
    <customShpInfo spid="_x0000_s1027"/>
    <customShpInfo spid="_x0000_s1033"/>
    <customShpInfo spid="_x0000_s1050"/>
    <customShpInfo spid="_x0000_s1053"/>
    <customShpInfo spid="_x0000_s1073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17E24-9B6A-4A97-8631-C305A1E6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sunkuangye</dc:creator>
  <cp:lastModifiedBy>孟传杰</cp:lastModifiedBy>
  <cp:revision>119</cp:revision>
  <cp:lastPrinted>2018-05-04T05:59:00Z</cp:lastPrinted>
  <dcterms:created xsi:type="dcterms:W3CDTF">2014-04-29T07:50:00Z</dcterms:created>
  <dcterms:modified xsi:type="dcterms:W3CDTF">2024-08-12T09:08:00Z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CDEAE3AF4AE341B7BC1DF0E2E31E6FBF</vt:lpwstr>
  </property>
</Properties>
</file>